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28" w:after="28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TERMO DE REFERÊNCIA – LEI 14.133/21</w:t>
      </w:r>
    </w:p>
    <w:p>
      <w:pPr>
        <w:pStyle w:val="Normal"/>
        <w:spacing w:lineRule="auto" w:line="276" w:before="28" w:after="28"/>
        <w:ind w:hanging="0" w:left="0" w:right="0"/>
        <w:jc w:val="center"/>
        <w:rPr>
          <w:rFonts w:ascii="Verdana" w:hAnsi="Verdana"/>
          <w:b/>
          <w:bCs/>
          <w:iCs/>
          <w:color w:val="000000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276" w:before="28" w:after="28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>AQUISIÇÃO DE COMBUSTÍVEL, PARA ABASTECIMENTO DA FROTA DE VEÍCULOS DO MUNICÍPIO DE SÃO GABRIEL DA PALHA</w:t>
      </w:r>
    </w:p>
    <w:p>
      <w:pPr>
        <w:pStyle w:val="Normal"/>
        <w:spacing w:lineRule="auto" w:line="276" w:before="0" w:after="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28" w:after="28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/>
          <w:iCs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/>
          <w:iCs/>
          <w:color w:val="000000"/>
          <w:sz w:val="20"/>
          <w:szCs w:val="20"/>
        </w:rPr>
        <w:t>0008130/</w:t>
      </w:r>
      <w:r>
        <w:rPr>
          <w:rFonts w:cs="Arial" w:ascii="Verdana" w:hAnsi="Verdana"/>
          <w:b/>
          <w:bCs/>
          <w:i/>
          <w:iCs/>
          <w:color w:val="000000"/>
          <w:sz w:val="20"/>
          <w:szCs w:val="20"/>
        </w:rPr>
        <w:t>2024 de 12 de novembro de 2024 (Secretaria Municipal de Administração)</w:t>
      </w:r>
    </w:p>
    <w:p>
      <w:pPr>
        <w:pStyle w:val="Normal"/>
        <w:spacing w:lineRule="auto" w:line="276" w:before="0" w:after="0"/>
        <w:ind w:hanging="0" w:left="0" w:right="0"/>
        <w:jc w:val="center"/>
        <w:rPr>
          <w:rFonts w:ascii="Verdana" w:hAnsi="Verdana" w:cs="Arial"/>
          <w:b/>
          <w:bCs/>
          <w:i/>
          <w:i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/>
          <w:color w:val="000000"/>
          <w:sz w:val="20"/>
          <w:szCs w:val="20"/>
        </w:rPr>
      </w:r>
    </w:p>
    <w:p>
      <w:pPr>
        <w:pStyle w:val="Nivel1"/>
        <w:keepNext w:val="true"/>
        <w:keepLines/>
        <w:widowControl/>
        <w:numPr>
          <w:ilvl w:val="0"/>
          <w:numId w:val="0"/>
        </w:numPr>
        <w:suppressAutoHyphens w:val="fals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1. DAS CONDIÇÕES GERAIS DA </w:t>
      </w:r>
      <w:r>
        <w:rPr>
          <w:rFonts w:eastAsia="" w:cs="Times New Roman" w:ascii="Verdana" w:hAnsi="Verdana"/>
          <w:b/>
          <w:bCs/>
          <w:color w:val="000000"/>
          <w:kern w:val="0"/>
          <w:sz w:val="20"/>
          <w:szCs w:val="20"/>
          <w:lang w:val="pt-BR" w:eastAsia="en-US" w:bidi="ar-SA"/>
        </w:rPr>
        <w:t>AQUISIÇÃO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bidi w:val="0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1.1 Contratação de pessoa jurídica especializada por meio de </w:t>
      </w:r>
      <w:r>
        <w:rPr>
          <w:rFonts w:eastAsia="Times New Roman" w:cs="Times New Roman" w:ascii="Verdana" w:hAnsi="Verdana"/>
          <w:b w:val="false"/>
          <w:bCs w:val="false"/>
          <w:iCs/>
          <w:sz w:val="20"/>
          <w:szCs w:val="20"/>
          <w:lang w:eastAsia="pt-BR"/>
        </w:rPr>
        <w:t xml:space="preserve">licitação </w:t>
      </w:r>
      <w:r>
        <w:rPr>
          <w:rFonts w:ascii="Verdana" w:hAnsi="Verdana"/>
          <w:b w:val="false"/>
          <w:bCs w:val="false"/>
          <w:iCs/>
          <w:sz w:val="20"/>
          <w:szCs w:val="20"/>
        </w:rPr>
        <w:t>para fornecimento de combustível para abastecimento da frota de veículos do Município de São Gabriel da Palha,</w:t>
      </w:r>
      <w:r>
        <w:rPr>
          <w:rFonts w:ascii="Verdana" w:hAnsi="Verdana"/>
          <w:iCs/>
          <w:sz w:val="20"/>
          <w:szCs w:val="20"/>
        </w:rPr>
        <w:t xml:space="preserve"> por um período de 12 (doze) meses, r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  <w:lang w:eastAsia="pt-BR"/>
        </w:rPr>
        <w:t>elacionados e especificados nas solicitações de compras anexo nos autos.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bidi w:val="0"/>
        <w:spacing w:lineRule="auto" w:line="276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PLANILHA ESTIMADA DA CONTRAÇÃO</w:t>
      </w:r>
    </w:p>
    <w:p>
      <w:pPr>
        <w:pStyle w:val="Normal"/>
        <w:suppressAutoHyphens w:val="false"/>
        <w:spacing w:lineRule="auto" w:line="276" w:before="0" w:after="0"/>
        <w:ind w:hanging="0" w:left="0" w:right="0"/>
        <w:jc w:val="both"/>
        <w:rPr>
          <w:rFonts w:ascii="Verdana" w:hAnsi="Verdana" w:cs="Arial"/>
          <w:sz w:val="20"/>
          <w:szCs w:val="20"/>
          <w:highlight w:val="yellow"/>
        </w:rPr>
      </w:pPr>
      <w:r>
        <w:rPr>
          <w:rFonts w:cs="Arial" w:ascii="Verdana" w:hAnsi="Verdana"/>
          <w:sz w:val="20"/>
          <w:szCs w:val="20"/>
          <w:highlight w:val="yellow"/>
        </w:rPr>
      </w:r>
    </w:p>
    <w:tbl>
      <w:tblPr>
        <w:tblW w:w="9746" w:type="dxa"/>
        <w:jc w:val="left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90"/>
        <w:gridCol w:w="3525"/>
        <w:gridCol w:w="660"/>
        <w:gridCol w:w="1485"/>
        <w:gridCol w:w="1350"/>
        <w:gridCol w:w="2036"/>
      </w:tblGrid>
      <w:tr>
        <w:trPr/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Gasolina Comum</w:t>
            </w:r>
          </w:p>
        </w:tc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105.850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R$ 6,39</w:t>
            </w:r>
          </w:p>
        </w:tc>
        <w:tc>
          <w:tcPr>
            <w:tcW w:w="20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 676.381,50</w:t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Óleo Diesel BS 500 (comum)</w:t>
            </w:r>
          </w:p>
        </w:tc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88.000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R$ 5,74</w:t>
            </w:r>
          </w:p>
        </w:tc>
        <w:tc>
          <w:tcPr>
            <w:tcW w:w="20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R$ 505.120,00</w:t>
            </w:r>
          </w:p>
        </w:tc>
      </w:tr>
      <w:tr>
        <w:trPr/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52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Óleo Diesel BS 10</w:t>
            </w:r>
          </w:p>
        </w:tc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613.800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R$ 5,84</w:t>
            </w:r>
          </w:p>
        </w:tc>
        <w:tc>
          <w:tcPr>
            <w:tcW w:w="20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R$ 3.584.592,00</w:t>
            </w:r>
          </w:p>
        </w:tc>
      </w:tr>
      <w:tr>
        <w:trPr/>
        <w:tc>
          <w:tcPr>
            <w:tcW w:w="9746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VALOR TOTAL ESTIMADO: R$ 4.766.093,50 (quatro milhões setecentos e sessenta e seis mil e noventa e três reais e cinquenta centavos)</w:t>
            </w:r>
          </w:p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Valores mínimo da Tabela da ANP de novembro de 2024 (referencia 03/11/2024 a 09/11/2024)</w:t>
            </w:r>
          </w:p>
        </w:tc>
      </w:tr>
    </w:tbl>
    <w:p>
      <w:pPr>
        <w:pStyle w:val="Normal"/>
        <w:suppressAutoHyphens w:val="false"/>
        <w:spacing w:lineRule="auto" w:line="276" w:before="0" w:after="0"/>
        <w:ind w:hanging="0" w:left="0" w:right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lang w:val="pt-BR" w:eastAsia="zh-CN" w:bidi="ar-SA"/>
        </w:rPr>
        <w:t>1.2. Quantitativo De Litros/Secretaria</w:t>
      </w:r>
    </w:p>
    <w:tbl>
      <w:tblPr>
        <w:tblW w:w="9825" w:type="dxa"/>
        <w:jc w:val="left"/>
        <w:tblInd w:w="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90"/>
        <w:gridCol w:w="1935"/>
        <w:gridCol w:w="1860"/>
        <w:gridCol w:w="2040"/>
      </w:tblGrid>
      <w:tr>
        <w:trPr>
          <w:trHeight w:val="300" w:hRule="atLeast"/>
        </w:trPr>
        <w:tc>
          <w:tcPr>
            <w:tcW w:w="9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QUADRO ESTIMATIVO DE CONSUMO – VALOR</w:t>
            </w:r>
          </w:p>
        </w:tc>
      </w:tr>
      <w:tr>
        <w:trPr>
          <w:trHeight w:val="791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SECRETARIA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Gasolina Comum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Óleo Diesel BS 500 (comum)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Óleo Diesel BS 10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Saúde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350000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Educação – Fumdeb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15000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80000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CRAS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5000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CREAS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2200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Sede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C. Tutelar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C. Único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Serviços Urb. e Transporte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25000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40000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Obras e Des. Urbano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18000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3000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Agricultura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25000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130000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Gabinete do Prefeito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1200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Esporte e Lazer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9600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Finanças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Cultura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Meio Ambiente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Governo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350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TOTAL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108.850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88.000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613.800</w:t>
            </w:r>
          </w:p>
        </w:tc>
      </w:tr>
      <w:tr>
        <w:trPr>
          <w:trHeight w:val="30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PREÇO MÍN TABELA ANP (NOV 2024)*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R$ 6,39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R$ 5,74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R$ 5,84</w:t>
            </w:r>
          </w:p>
        </w:tc>
      </w:tr>
      <w:tr>
        <w:trPr>
          <w:trHeight w:val="30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VALOR ESTIMADO GLOBAL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 676.381,50</w:t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R$ 505.120,00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tedodatabela"/>
              <w:widowControl w:val="false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R$ 3.584.592,00</w:t>
            </w:r>
          </w:p>
        </w:tc>
      </w:tr>
      <w:tr>
        <w:trPr>
          <w:trHeight w:val="30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DESCONTO (1%)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VALOR COM DESCONTO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VALOR TOTAL GLOBAL</w:t>
            </w:r>
          </w:p>
        </w:tc>
        <w:tc>
          <w:tcPr>
            <w:tcW w:w="583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* Município Linhares – ES</w:t>
            </w:r>
          </w:p>
        </w:tc>
        <w:tc>
          <w:tcPr>
            <w:tcW w:w="193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</w:tbl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bookmarkStart w:id="0" w:name="page66R_mcid0"/>
      <w:bookmarkEnd w:id="0"/>
      <w:r>
        <w:rPr>
          <w:rFonts w:ascii="Verdana" w:hAnsi="Verdana"/>
          <w:b w:val="false"/>
          <w:bCs w:val="false"/>
          <w:iCs/>
          <w:sz w:val="20"/>
          <w:szCs w:val="20"/>
        </w:rPr>
        <w:t>1.3</w:t>
      </w:r>
      <w:r>
        <w:rPr>
          <w:rFonts w:ascii="Verdana" w:hAnsi="Verdana"/>
          <w:iCs/>
          <w:sz w:val="20"/>
          <w:szCs w:val="20"/>
        </w:rPr>
        <w:t xml:space="preserve">. a) </w:t>
      </w:r>
      <w:r>
        <w:rPr>
          <w:rFonts w:cs="Arial" w:ascii="Verdana" w:hAnsi="Verdana"/>
          <w:b w:val="false"/>
          <w:bCs w:val="false"/>
          <w:iCs/>
          <w:sz w:val="20"/>
          <w:szCs w:val="20"/>
          <w:shd w:fill="auto" w:val="clear"/>
        </w:rPr>
        <w:t>Os produtos devem atender as normas e padrões relacionados, principalmente as normas da ANP - ANP- Agência Nacional de Petróleo vigentes.</w:t>
      </w:r>
    </w:p>
    <w:p>
      <w:pPr>
        <w:pStyle w:val="Normal"/>
        <w:spacing w:lineRule="auto" w:line="276" w:before="85" w:after="85"/>
        <w:ind w:hanging="0" w:left="0" w:right="0"/>
        <w:jc w:val="both"/>
        <w:rPr/>
      </w:pPr>
      <w:r>
        <w:rPr>
          <w:rStyle w:val="fontstyle2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</w:rPr>
        <w:t>b) **</w:t>
      </w:r>
      <w:r>
        <w:rPr>
          <w:rStyle w:val="fontstyle0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</w:rPr>
        <w:t>A proposta comercial deverá ser apresentada na forma de</w:t>
      </w:r>
      <w:r>
        <w:rPr>
          <w:rStyle w:val="fontstyle01"/>
          <w:rFonts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</w:t>
      </w:r>
      <w:r>
        <w:rPr>
          <w:rStyle w:val="fontstyle0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</w:rPr>
        <w:t xml:space="preserve">PERCENTUAL DE DESCONTO, </w:t>
      </w:r>
      <w:r>
        <w:rPr>
          <w:rStyle w:val="fontstyle2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</w:rPr>
        <w:t>em relação ao preço de referência</w:t>
      </w:r>
      <w:r>
        <w:rPr>
          <w:rStyle w:val="fontstyle21"/>
          <w:rFonts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</w:t>
      </w:r>
      <w:r>
        <w:rPr>
          <w:rStyle w:val="fontstyle2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</w:rPr>
        <w:t>do mês da publicação do edital licitatório, pela</w:t>
      </w:r>
      <w:r>
        <w:rPr>
          <w:rFonts w:cs="Times New Roman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</w:t>
      </w:r>
      <w:r>
        <w:rPr>
          <w:rStyle w:val="fontstyle2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</w:rPr>
        <w:t>Agência Nacional de Petróleo – ANP.</w:t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/>
      </w:pPr>
      <w:r>
        <w:rPr>
          <w:rStyle w:val="fontstyle2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 xml:space="preserve">c) ** O </w:t>
      </w:r>
      <w:r>
        <w:rPr>
          <w:rStyle w:val="fontstyle0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>PERCENTUAL DE DESCONTO</w:t>
      </w:r>
      <w:r>
        <w:rPr>
          <w:rStyle w:val="fontstyle21"/>
          <w:rFonts w:cs="Times New Roman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 xml:space="preserve"> mínimo admitido deverá ser 1(um) por cento.</w:t>
      </w:r>
    </w:p>
    <w:p>
      <w:pPr>
        <w:pStyle w:val="ListParagraph"/>
        <w:suppressAutoHyphens w:val="false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1.4.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O prazo de vigência da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u w:val="none"/>
          <w:lang w:val="pt-BR" w:eastAsia="pt-BR" w:bidi="ar-SA"/>
        </w:rPr>
        <w:t>aquisição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 será de 12 (doze) meses</w:t>
      </w:r>
      <w:r>
        <w:rPr>
          <w:rFonts w:cs="Arial" w:ascii="Verdana" w:hAnsi="Verdana"/>
          <w:b w:val="false"/>
          <w:bCs w:val="false"/>
          <w:i w:val="false"/>
          <w:iCs w:val="false"/>
          <w:color w:val="FF0000"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contados a partir da  assinatura do contrato.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bidi w:val="0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 xml:space="preserve">1.5.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 xml:space="preserve">O objeto da contratação será composto por 03 itens, de preço total estimado orçado pela administração no valor R$ 4.766.093,50 (quatro milhões setecentos e sessenta e seis mil e noventa e três reais e cinquenta centavo) </w:t>
      </w:r>
      <w:r>
        <w:rPr>
          <w:rFonts w:eastAsia="Arial" w:cs="Arial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>p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 xml:space="preserve">ara fins de classificação, será considerado o maior desconto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</w:t>
      </w:r>
      <w:r>
        <w:rPr>
          <w:rFonts w:eastAsia="Times New Roman" w:cs="Arial" w:ascii="Verdana" w:hAnsi="Verdana"/>
          <w:iCs/>
          <w:color w:val="000000"/>
          <w:sz w:val="20"/>
          <w:szCs w:val="20"/>
          <w:shd w:fill="auto" w:val="clear"/>
        </w:rPr>
        <w:t>e das condições da aquisição, posto que seja essa descrição que impulsiona a seleção da proposta mais vantajosa.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bidi w:val="0"/>
        <w:spacing w:lineRule="auto" w:line="276" w:before="85" w:after="85"/>
        <w:ind w:hanging="0" w:left="0" w:right="0"/>
        <w:jc w:val="both"/>
        <w:rPr>
          <w:rFonts w:ascii="Verdana" w:hAnsi="Verdana" w:cs="Arial"/>
          <w:bCs/>
          <w:iCs/>
          <w:color w:val="000000"/>
          <w:sz w:val="20"/>
          <w:szCs w:val="20"/>
        </w:rPr>
      </w:pPr>
      <w:r>
        <w:rPr>
          <w:rFonts w:cs="Arial" w:ascii="Verdana" w:hAnsi="Verdana"/>
          <w:bCs/>
          <w:iCs/>
          <w:color w:val="000000"/>
          <w:sz w:val="20"/>
          <w:szCs w:val="20"/>
        </w:rPr>
      </w:r>
      <w:bookmarkStart w:id="1" w:name="art23§7"/>
      <w:bookmarkStart w:id="2" w:name="art23§7"/>
      <w:bookmarkEnd w:id="2"/>
    </w:p>
    <w:p>
      <w:pPr>
        <w:pStyle w:val="Nivel1"/>
        <w:keepNext w:val="true"/>
        <w:keepLines/>
        <w:widowControl/>
        <w:numPr>
          <w:ilvl w:val="0"/>
          <w:numId w:val="0"/>
        </w:numPr>
        <w:suppressAutoHyphens w:val="fals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2. FUNDAMENTAÇÃO E DESCRIÇÃO DA NECESSIDADE DA </w:t>
      </w:r>
      <w:r>
        <w:rPr>
          <w:rFonts w:eastAsia="" w:cs="Times New Roman" w:ascii="Verdana" w:hAnsi="Verdana"/>
          <w:b/>
          <w:bCs/>
          <w:color w:val="000000"/>
          <w:kern w:val="0"/>
          <w:sz w:val="20"/>
          <w:szCs w:val="20"/>
          <w:lang w:val="pt-BR" w:eastAsia="en-US" w:bidi="ar-SA"/>
        </w:rPr>
        <w:t>AQUISIÇÃO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2.1. </w:t>
      </w:r>
      <w:r>
        <w:rPr>
          <w:rFonts w:cs="Times New Roman" w:ascii="Verdana" w:hAnsi="Verdana"/>
          <w:b w:val="false"/>
          <w:bCs w:val="false"/>
          <w:color w:val="000000"/>
          <w:sz w:val="20"/>
          <w:szCs w:val="20"/>
          <w:shd w:fill="auto" w:val="clear"/>
        </w:rPr>
        <w:t>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000000"/>
          <w:sz w:val="20"/>
          <w:szCs w:val="20"/>
          <w:shd w:fill="auto" w:val="clear"/>
        </w:rPr>
        <w:t>2.2. O interesse público na contratação será alcançado quando as Unidades Administrativas puderem contar com veículos adequados, disponíveis, com combustível suficiente para cumprir os objetivos institucionais, além de melhorar atendimento e proporcionar economicidade/rapidez nas ações realizadas.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000000"/>
          <w:sz w:val="20"/>
          <w:szCs w:val="20"/>
          <w:shd w:fill="auto" w:val="clear"/>
        </w:rPr>
        <w:t>2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.3. A quantidade de combustíveis a ser adquirida será estimada (baseada no consumo do ano de 2023/2024), considerando que a frota da Prefeitura Municipal de São Gabriel da Palha consiste em veículos a gasolina e a diesel BS 500 e BS 10; e, máquinas a Diesel BS 500 e BS 10, acrescendo um percentual de aumento de 10% no consumo.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2.4. JUSTIFICATIVA PARA CONTRATAÇÃO PRESENCIAL (Conforme anexado nos autos pela requerente)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2.4.1. A escolha pela contratação presencial se justifica por diversos fatores que envolvem a segurança, a logística e a necessidade de um controle mais rigoroso sobre a qualidade e a quantidade dos combustíveis fornecidos. As principais razões que justificam a necessidade dessa contratação presencial são: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450" w:leader="none"/>
        </w:tabs>
        <w:spacing w:lineRule="auto" w:line="276" w:before="85" w:after="85"/>
        <w:ind w:hanging="0" w:left="0" w:right="0"/>
        <w:jc w:val="both"/>
        <w:rPr/>
      </w:pPr>
      <w:r>
        <w:rPr>
          <w:rStyle w:val="Strong"/>
          <w:rFonts w:ascii="Verdana" w:hAnsi="Verdana"/>
          <w:sz w:val="20"/>
          <w:szCs w:val="20"/>
        </w:rPr>
        <w:t>Aferição de Qualidade e Quantidade:</w:t>
      </w:r>
      <w:r>
        <w:rPr>
          <w:rFonts w:ascii="Verdana" w:hAnsi="Verdana"/>
          <w:sz w:val="20"/>
          <w:szCs w:val="20"/>
        </w:rPr>
        <w:t xml:space="preserve"> O fornecimento presencial garante que a Prefeitura possa verificar, de forma imediata, a qualidade do combustível, evitando fraudes ou fornecimento de produto inadequado. A presença de um responsável técnico no local assegura que o volume entregue seja conferido no ato da entrega, minimizando riscos de erros ou práticas fraudulentas.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450" w:leader="none"/>
        </w:tabs>
        <w:spacing w:lineRule="auto" w:line="276" w:before="85" w:after="85"/>
        <w:ind w:hanging="0" w:left="0" w:right="0"/>
        <w:jc w:val="both"/>
        <w:rPr/>
      </w:pPr>
      <w:r>
        <w:rPr>
          <w:rStyle w:val="Strong"/>
          <w:rFonts w:ascii="Verdana" w:hAnsi="Verdana"/>
          <w:sz w:val="20"/>
          <w:szCs w:val="20"/>
        </w:rPr>
        <w:t>Atendimento a Urgências e Emergências:</w:t>
      </w:r>
      <w:r>
        <w:rPr>
          <w:rFonts w:ascii="Verdana" w:hAnsi="Verdana"/>
          <w:sz w:val="20"/>
          <w:szCs w:val="20"/>
        </w:rPr>
        <w:t xml:space="preserve"> A possibilidade de realização de negociações presenciais favorece a agilidade em situações emergenciais, nas quais a Prefeitura necessita de um fornecimento rápido e contínuo de combustível para garantir o funcionamento de serviços essenciais, como atendimento à saúde, segurança e coleta de lixo.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2.4.2. Portanto, a contratação presencial de uma empresa para fornecimento de combustível à Prefeitura se justifica pela necessidade de assegurar a integridade e a eficiência dos serviços públicos, bem como pela possibilidade de garantir maior controle sobre as condições de fornecimento, o cumprimento das obrigações contratuais e o atendimento adequado às necessidades da população.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2.4.3. Diante do exposto, é fundamental a adoção desse modelo de contratação para que a Prefeitura possa continuar desempenhando suas funções com qualidade, segurança e dentro das normas legais, conforme disposto pela Lei nº 14.133/2021.</w:t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BodyText"/>
        <w:spacing w:lineRule="auto" w:line="276" w:before="85" w:after="85"/>
        <w:ind w:hanging="0" w:left="0" w:righ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</w:t>
      </w:r>
    </w:p>
    <w:p>
      <w:pPr>
        <w:pStyle w:val="Nivel1"/>
        <w:numPr>
          <w:ilvl w:val="0"/>
          <w:numId w:val="0"/>
        </w:numPr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3.1. Após uma análise das opções disponíveis, foi possível identificar a solução mais vantajosa tanto para a contratação. 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3.2. Dentre as opções examinadas, a solução que se destacou foi aquela que oferecia um equilíbrio notável entre qualidade e custo-benefício. 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3.3. A escolha desta solução não apenas se mostrou vantajosa para o momento da contratação, mas também previu potenciais economias a longo prazo, tanto em termos de despesas operacionais.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3.4. Com base na análise detalhada realizada, esta solução se destaca como a mais viável e promissora para atender às demandas atuais e futuras, oferecendo um equilíbrio ideal entre eficiência, confiabilidade e custo.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4. CLASSIFICAÇÃO DOS BENS COMUNS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4.1 Trata-se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de bens comuns de natureza contínua, a ser contratado mediante licitação.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Nivel1"/>
        <w:numPr>
          <w:ilvl w:val="0"/>
          <w:numId w:val="0"/>
        </w:numPr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 xml:space="preserve">5. REQUISITOS DA </w:t>
      </w:r>
      <w:r>
        <w:rPr>
          <w:rFonts w:eastAsia="" w:cs="Times New Roman" w:ascii="Verdana" w:hAnsi="Verdana"/>
          <w:b/>
          <w:bCs/>
          <w:color w:val="000000"/>
          <w:kern w:val="0"/>
          <w:sz w:val="20"/>
          <w:szCs w:val="20"/>
          <w:lang w:val="pt-BR" w:eastAsia="en-US" w:bidi="ar-SA"/>
        </w:rPr>
        <w:t>AQUISIÇÃO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5.1. Os produtos devem atender as normas e padrões relacionados, principalmente as normas da ANP - ANP- Agência Nacional de Petróleo vigentes.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5.2. A licitante vencedora deverá fornecer os combustíveis em seu próprio estabelecimento, na sede deste município, mediante a apresentação de requisição, em duas vias, assinada por servidor responsável, autorizado por Secretário Municipal, especificando a marca e modelo do veículo, placa, quantidade de combustível, nome do condutor do veículo e campo para introdução do nome e assinatura do servidor autorizado pela Administração Municipal para efetuar a requisição e pelo condutor do veículo no posto.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5.3. Os combustíveis deverão ser fornecidos de acordo com as necessidades de cada Unidade Administrativa, em Posto de Abastecimento da Contratada.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5.4. Após o preenchimento da requisição e assinatura, no ato do abastecimento, a Contratada ficará com a requisição de abastecimento, sendo devolvida acompanhado de relatório quinzenal à Unidade Administrativa requisitante, para posterior prestação de contas.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ivel1"/>
        <w:widowControl/>
        <w:numPr>
          <w:ilvl w:val="0"/>
          <w:numId w:val="0"/>
        </w:numPr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 w:val="false"/>
          <w:iCs w:val="false"/>
          <w:color w:val="000000"/>
          <w:sz w:val="20"/>
          <w:szCs w:val="20"/>
        </w:rPr>
        <w:t xml:space="preserve">6. </w:t>
      </w:r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>ENTREGA E CRITÉRIOS DE ACEITAÇÃO DO OBJETO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6.1.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Os combustíveis deverão ser fornecidos de acordo com as necessidades de cada Unidade Administrativa, em Posto de Abastecimento da 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e as quantidades serão especificadas em planilha, de acordo com a quantidade solicitada, junto da Autorização de Fornecimento, no prazo máximo de 05 dias corridos.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6.2. Contato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Tel</w:t>
      </w:r>
      <w:r>
        <w:rPr>
          <w:rFonts w:cs="Arial" w:ascii="Verdana" w:hAnsi="Verdana"/>
          <w:b w:val="false"/>
          <w:bCs w:val="false"/>
          <w:sz w:val="20"/>
          <w:szCs w:val="20"/>
        </w:rPr>
        <w:t>: 27 3727-1366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Email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administracao@saogabriel.es.gov.br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Responsável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: 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Administração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6.3. 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</w:t>
      </w:r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>, Será acompanhado pelo (a) responsável e fiscalização do contrato, para efeito de posterior verificação de sua conformidade com as especificações constantes neste Termo de Referência e na proposta.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6.4.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eastAsia="pt-BR"/>
        </w:rPr>
        <w:t>itens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poderão ser rejeitados, no todo ou em parte, quando em desacordo com as especificações constantes neste Termo de Referência e na proposta, devendo ser substituídos no prazo de 24h (vinte e quatro horas), a contar da notificação da contratada, às suas custas, sem prejuízo da aplicação das penalidades.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6.5. O recebimento provisório ou definitivo do objeto não exclui a responsabilidade da cont</w:t>
      </w:r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>ratada pelos prejuízos resultantes da incorreta execução do contrato.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bCs/>
          <w:i w:val="false"/>
          <w:i w:val="false"/>
          <w:iCs w:val="false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7. OBRIGAÇÕES DA CONTRATANTE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Utilizar o objeto no prazo e condições estabelecidas neste Termo de Referência e seus anexos</w:t>
      </w:r>
      <w:bookmarkStart w:id="3" w:name="page68R_mcid1"/>
      <w:bookmarkEnd w:id="3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.</w:t>
        <w:br/>
        <w:t>7.2. 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Comunicar à Contratada, por escrito, sobre imperfeições, falhas ou irregularidades verificadas no objeto fornecido, para que seja substituído, reparado ou corrigido.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do presente contrato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bem como por qualquer dano causado a terceiros em decorrência de ato da Contratada, de seus empregados, prepostos ou subordinados.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cs="Arial"/>
          <w:b w:val="false"/>
          <w:bCs w:val="false"/>
          <w:i w:val="false"/>
          <w:i w:val="false"/>
          <w:iCs w:val="false"/>
          <w:color w:val="00000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bookmarkStart w:id="4" w:name="page68R_mcid7"/>
      <w:bookmarkEnd w:id="4"/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prestação de serviços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 Substituir, reparar ou corrigir, às suas expensas, no prazo fixado neste Termo de Referência, o objeto/serviço com avarias ou defeitos.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o contrato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em compatibilidade com as obrigações assumidas, todas as condições de habilitação e qualificação exigidas na licitação.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 do contrato.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CONTRATADA será responsável pela observância das leis, decretos, regulamentos, portarias e normas federais, estaduais e municipais direta e indiretamente aplicáveis ao objeto/serviço do contrato.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 Durante a execução do contrato, a CONTRATADA deverá:</w:t>
      </w:r>
      <w:bookmarkStart w:id="5" w:name="page68R_mcid17"/>
      <w:bookmarkEnd w:id="5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das secretarias, os abastecimentos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nas quantidades e especificações deste TERMO DE REFERÊNCIA.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A nota fiscal deverá ser acompanhada pelas Certidões de Regularidades Fiscais</w:t>
      </w:r>
      <w:bookmarkStart w:id="6" w:name="page68R_mcid20"/>
      <w:bookmarkEnd w:id="6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8.9.3.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 o item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bookmarkStart w:id="7" w:name="page70R_mcid10"/>
      <w:bookmarkEnd w:id="7"/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Nos termos do art. 71 da Lei n.º 14.133/2021, será designado representante para acompanhar e fiscalizar a o abastecimento dos veiculos, anotando em registro próprio todas as ocorrências relacionadas com a execução e determinando o que for necessário à regularização de falhas ou defeitos observados.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9.3. O representante da Administração anotará em registro próprio todas as ocorrências relacionadas com a execução do presente contrato, indicando dia, mês e ano, bem como o nome dos funcionários eventualmente envolvidos, determinando o que</w:t>
        <w:br/>
        <w:t xml:space="preserve">for necessário à regularização das falhas ou </w:t>
      </w:r>
      <w:r>
        <w:rPr>
          <w:rFonts w:ascii="Verdana" w:hAnsi="Verdana"/>
          <w:sz w:val="20"/>
          <w:szCs w:val="20"/>
        </w:rPr>
        <w:t xml:space="preserve">defeitos observados e encaminhando os apontamentos à autoridade competente para as providências cabíveis. 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 w:cs="Arial"/>
          <w:b w:val="false"/>
          <w:bCs w:val="false"/>
          <w:i w:val="false"/>
          <w:i w:val="false"/>
          <w:i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 CRITÉRIOS DE PAGAMENTO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en-US" w:bidi="ar-SA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 w:before="85" w:after="85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563" w:leader="none"/>
        </w:tabs>
        <w:spacing w:lineRule="auto" w:line="276" w:before="85" w:after="8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O prazo de validade;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563" w:leader="none"/>
        </w:tabs>
        <w:spacing w:lineRule="auto" w:line="276" w:before="85" w:after="8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A data da emissão; 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563" w:leader="none"/>
        </w:tabs>
        <w:spacing w:lineRule="auto" w:line="276" w:before="85" w:after="8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Os dados do contrato e do órgão contratante; 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563" w:leader="none"/>
        </w:tabs>
        <w:spacing w:lineRule="auto" w:line="276" w:before="85" w:after="8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período respectivo de execução do contrato; 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563" w:leader="none"/>
        </w:tabs>
        <w:spacing w:lineRule="auto" w:line="276" w:before="85" w:after="8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valor a pagar; e 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563" w:leader="none"/>
        </w:tabs>
        <w:spacing w:lineRule="auto" w:line="276" w:before="85" w:after="8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85" w:after="85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</w:t>
      </w:r>
      <w:r>
        <w:rPr>
          <w:rFonts w:ascii="Verdana" w:hAnsi="Verdana"/>
          <w:sz w:val="20"/>
          <w:szCs w:val="20"/>
          <w:lang w:eastAsia="en-US"/>
        </w:rPr>
        <w:t>a fiscal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sz w:val="20"/>
          <w:szCs w:val="20"/>
          <w:lang w:eastAsia="en-US"/>
        </w:rPr>
        <w:t>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76" w:before="85" w:after="85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ListLabel66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</w:t>
        </w:r>
        <w:r>
          <w:rPr>
            <w:rStyle w:val="ListLabel66"/>
            <w:rFonts w:ascii="Verdana" w:hAnsi="Verdana"/>
            <w:sz w:val="20"/>
            <w:szCs w:val="20"/>
            <w:u w:val="none"/>
            <w:lang w:eastAsia="en-US"/>
          </w:rPr>
          <w:t>plementar nº 123, de 2006</w:t>
        </w:r>
      </w:hyperlink>
      <w:r>
        <w:rPr>
          <w:rFonts w:ascii="Verdana" w:hAnsi="Verdana"/>
          <w:sz w:val="20"/>
          <w:szCs w:val="20"/>
          <w:lang w:eastAsia="en-US"/>
        </w:rPr>
        <w:t xml:space="preserve">, não sofrerá a retenção tributária quanto aos impostos e contribuições abrangidos por aquele regime. No entanto, o pagamento ficará condicionado à apresentação de comprovação, por meio de documento oficial, de que 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faz jus ao tratamento tributário favorecido previsto na referida Lei Complementar.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Calibri" w:cs="Calibri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10.11.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85" w:after="85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  <w:shd w:fill="auto" w:val="clear"/>
        </w:rPr>
        <w:t xml:space="preserve">VM = VF </w:t>
      </w:r>
      <w:r>
        <w:rPr>
          <w:rFonts w:cs="Verdana" w:ascii="Verdana" w:hAnsi="Verdana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sz w:val="20"/>
          <w:szCs w:val="20"/>
          <w:u w:val="single"/>
          <w:shd w:fill="auto" w:val="clear"/>
        </w:rPr>
        <w:t>0,33</w:t>
      </w:r>
      <w:r>
        <w:rPr>
          <w:rFonts w:cs="Verdana" w:ascii="Verdana" w:hAnsi="Verdana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sz w:val="20"/>
          <w:szCs w:val="20"/>
          <w:shd w:fill="auto" w:val="clear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85" w:after="85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  <w:shd w:fill="auto" w:val="clear"/>
        </w:rPr>
        <w:t xml:space="preserve">        </w:t>
      </w:r>
      <w:r>
        <w:rPr>
          <w:rFonts w:cs="Verdana" w:ascii="Verdana" w:hAnsi="Verdana"/>
          <w:sz w:val="20"/>
          <w:szCs w:val="20"/>
          <w:shd w:fill="auto" w:val="clear"/>
        </w:rPr>
        <w:t>100</w:t>
      </w:r>
    </w:p>
    <w:p>
      <w:pPr>
        <w:pStyle w:val="Normal"/>
        <w:suppressAutoHyphens w:val="false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Onde: </w:t>
      </w:r>
    </w:p>
    <w:p>
      <w:pPr>
        <w:pStyle w:val="Normal"/>
        <w:suppressAutoHyphens w:val="false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VM = Valor da Multa Financeira; </w:t>
      </w:r>
    </w:p>
    <w:p>
      <w:pPr>
        <w:pStyle w:val="Normal"/>
        <w:suppressAutoHyphens w:val="false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color w:val="000000"/>
          <w:sz w:val="20"/>
          <w:szCs w:val="20"/>
          <w:shd w:fill="auto" w:val="clear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85" w:after="85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color w:val="000000"/>
          <w:sz w:val="20"/>
          <w:szCs w:val="20"/>
          <w:shd w:fill="auto" w:val="clear"/>
        </w:rPr>
        <w:t>ND = Número de dias em atraso.</w:t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10.12..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10.13.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10.14.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10.15. </w:t>
      </w:r>
      <w:r>
        <w:rPr>
          <w:rFonts w:cs="Arial;Arial" w:ascii="Verdana" w:hAnsi="Verdana"/>
          <w:b w:val="false"/>
          <w:bCs w:val="false"/>
          <w:sz w:val="20"/>
          <w:szCs w:val="20"/>
          <w:shd w:fill="auto" w:val="clear"/>
          <w:lang w:eastAsia="en-US"/>
        </w:rPr>
        <w:t xml:space="preserve">Para a efetivação do pagamento, a CONTRATADA deverá manter as mesmas </w:t>
      </w:r>
      <w:r>
        <w:rPr>
          <w:rFonts w:cs="Arial;Arial" w:ascii="Verdana" w:hAnsi="Verdana"/>
          <w:b w:val="false"/>
          <w:bCs w:val="false"/>
          <w:sz w:val="20"/>
          <w:szCs w:val="20"/>
          <w:shd w:fill="auto" w:val="clear"/>
          <w:lang w:eastAsia="pt-BR"/>
        </w:rPr>
        <w:t>condiçõe</w:t>
      </w:r>
      <w:r>
        <w:rPr>
          <w:rFonts w:cs="Arial;Arial" w:ascii="Verdana" w:hAnsi="Verdana"/>
          <w:sz w:val="20"/>
          <w:szCs w:val="20"/>
          <w:shd w:fill="auto" w:val="clear"/>
          <w:lang w:eastAsia="pt-BR"/>
        </w:rPr>
        <w:t>s relativas à proposta de preço e a habilitação;</w:t>
      </w:r>
    </w:p>
    <w:p>
      <w:pPr>
        <w:pStyle w:val="Default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. DAS SANÇÕES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.1.1. Dar causa à inexecução parcial do contrato.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.1.3. Dar causa à inexecução total;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.1.4. Deixar de entregar a documentação exigida para o certame.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.1.5. Não manter a proposta, salvo em decorrência de fato superveniente devidamente justificado.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.1.7. Ensejar o retardamento da execução ou da entrega do objeto sem motivo justificado,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.1.8. Apresentar declaração ou documentação falsa exigida para o certame ou prestar declaração falsa durante a </w:t>
      </w: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>da Dispensa de Licitação/Licitação/Registro de Preços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 ou a execução do objeto.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11.1.9. Fraudar a </w:t>
      </w: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>da Dispensa de Licitação/Licitação/Registro de Preços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 ou praticar ato fraudulento na execução do objeto.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.1.10. Comportar-se de modo inidôneo ou cometer fraude de qualquer natureza.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.1.10.1. Considera-se comportamento inidôneo, entre outros, a declaração falsa quanto às condições de participação, quanto ao enquadramento como ME/EPP ou o conluio entre os fornecedores, em qualquer momento </w:t>
      </w: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>da Dispensa de Licitação/Licitação/Registro de Preços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 mesmo após o encerramento da fase de lances.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.1.11. Praticar atos ilícitos com vistas a frustrar os objetivos deste certame.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.1.12. Praticar ato lesivo previsto no art. 5º da Lei nº 12.846, de 1º de agosto de 2013.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ab/>
        <w:t>a) Advertência pela falta do subitem 11.1.1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.1.7 e 20% (vinte por cento), se cometidas infrações previstas nos itens 11.1.8 a 11.1.12; 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ab/>
        <w:tab/>
        <w:t xml:space="preserve">b.2) A multa pode ser aplicada isoladamente ou juntamente com as penalidades definidas nos itens “c” e “d” abaixo: 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ab/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.3. Na aplicação das sanções serão considerados: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.3.1. A natureza e a gravidade da infração cometida.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11.3.2. As peculiaridades do caso concreto.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11.3.3. As circunstâncias agravantes ou atenuantes.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11.3.4. Os danos que dela provierem para a Administração Pública.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  <w:lang w:eastAsia="en-US"/>
        </w:rPr>
        <w:t>11.5. A aplicação de qualquer das penalidades previstas realizar-se-á em processo administrati</w:t>
      </w:r>
      <w:r>
        <w:rPr>
          <w:rFonts w:ascii="Verdana" w:hAnsi="Verdana"/>
          <w:iCs/>
          <w:sz w:val="20"/>
          <w:szCs w:val="20"/>
          <w:shd w:fill="auto" w:val="clear"/>
          <w:lang w:eastAsia="en-US"/>
        </w:rPr>
        <w:t>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</w:p>
    <w:p>
      <w:pPr>
        <w:pStyle w:val="Nivel01"/>
        <w:keepNext w:val="true"/>
        <w:keepLines/>
        <w:widowControl/>
        <w:tabs>
          <w:tab w:val="clear" w:pos="567"/>
          <w:tab w:val="left" w:pos="517" w:leader="none"/>
          <w:tab w:val="left" w:pos="683" w:leader="none"/>
        </w:tabs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85" w:after="85"/>
        <w:ind w:hanging="0" w:left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76" w:before="85" w:after="85"/>
        <w:ind w:hanging="0" w:left="0" w:righ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12.2.1 O interessado, para efeitos de habilitação prevista na Instrução Normativa SEGES</w:t>
      </w:r>
      <w:r>
        <w:rPr>
          <w:rFonts w:cs="Verdana" w:ascii="Verdana" w:hAnsi="Verdana"/>
          <w:sz w:val="20"/>
          <w:szCs w:val="20"/>
          <w:lang w:eastAsia="ar-SA"/>
        </w:rPr>
        <w:t>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PADRO"/>
        <w:keepNext w:val="false"/>
        <w:widowControl/>
        <w:tabs>
          <w:tab w:val="clear" w:pos="708"/>
          <w:tab w:val="left" w:pos="567" w:leader="none"/>
        </w:tabs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76" w:before="142" w:after="142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76" w:before="142" w:after="142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76" w:before="142" w:after="142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12.7 Ressalvado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76" w:before="142" w:after="142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 Habilitação jurídica:</w:t>
      </w:r>
    </w:p>
    <w:p>
      <w:pPr>
        <w:pStyle w:val="ListParagraph"/>
        <w:spacing w:lineRule="auto" w:line="276" w:before="142" w:after="142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76" w:before="142" w:after="142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Hyperlink"/>
            <w:rFonts w:cs="Verdana" w:ascii="Verdana" w:hAnsi="Verdana"/>
            <w:b w:val="false"/>
            <w:bCs w:val="false"/>
            <w:color w:val="000000"/>
            <w:sz w:val="20"/>
            <w:szCs w:val="20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</w:t>
      </w:r>
      <w:r>
        <w:rPr>
          <w:rFonts w:cs="Verdana" w:ascii="Verdana" w:hAnsi="Verdana"/>
          <w:bCs/>
          <w:color w:val="000000"/>
          <w:sz w:val="20"/>
          <w:szCs w:val="20"/>
        </w:rPr>
        <w:t>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 caso de empresa ou sociedade estrangeira em funcionamento no País: decreto de autorização;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12.8.8 Os documentos acima deverão estar acompanhados de todas as alterações ou da c</w:t>
      </w:r>
      <w:r>
        <w:rPr>
          <w:rFonts w:cs="Verdana" w:ascii="Verdana" w:hAnsi="Verdana"/>
          <w:bCs/>
          <w:color w:val="000000"/>
          <w:sz w:val="20"/>
          <w:szCs w:val="20"/>
        </w:rPr>
        <w:t>onsolidação respectiva;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2.9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  <w:r>
        <w:rPr>
          <w:rFonts w:cs="Verdana" w:ascii="Verdana" w:hAnsi="Verdana"/>
          <w:b/>
          <w:bCs/>
          <w:color w:val="0000FF"/>
          <w:sz w:val="20"/>
          <w:szCs w:val="20"/>
        </w:rPr>
        <w:t>:</w:t>
      </w:r>
    </w:p>
    <w:p>
      <w:pPr>
        <w:pStyle w:val="Normal"/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12.9.1 Prova de inscrição no Cadastro Nacional de Pessoas Jurídicas ou no Cadastro de Pessoas Físicas, conforme o caso;</w:t>
      </w:r>
    </w:p>
    <w:p>
      <w:pPr>
        <w:pStyle w:val="Normal"/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12.9.2 Certidão de regularidade junto à fazenda pública Municipal, do domicílio do Licitante;</w:t>
      </w:r>
    </w:p>
    <w:p>
      <w:pPr>
        <w:pStyle w:val="Normal"/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12.9.3 Certidão de regularidade junto à fazenda pública Estadual, do domicílio do Licitante;</w:t>
      </w:r>
    </w:p>
    <w:p>
      <w:pPr>
        <w:pStyle w:val="Normal"/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12.9.5 Certidão de regularidade junto ao FGTS;</w:t>
      </w:r>
    </w:p>
    <w:p>
      <w:pPr>
        <w:pStyle w:val="Normal"/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12.10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Licitação/Licitação/Registro de Preços.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widowControl/>
        <w:tabs>
          <w:tab w:val="clear" w:pos="708"/>
          <w:tab w:val="left" w:pos="850" w:leader="none"/>
        </w:tabs>
        <w:suppressAutoHyphens w:val="true"/>
        <w:bidi w:val="0"/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 xml:space="preserve">12.10.3 Para a contagem do prazo estabelecido na letra “a” deste capítulo, será contado a partir do primeiro dia que antecede a data da realização desta 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da Dispensa de Licitação/Licitação/Registro de Preços.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shd w:fill="auto" w:val="clear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Verdana"/>
          <w:b w:val="false"/>
          <w:bCs w:val="false"/>
          <w:iCs/>
          <w:color w:val="000000"/>
          <w:sz w:val="20"/>
          <w:szCs w:val="20"/>
          <w:shd w:fill="auto" w:val="clear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shd w:fill="auto" w:val="clear"/>
          <w:lang w:eastAsia="en-US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Verdana"/>
          <w:b w:val="false"/>
          <w:bCs w:val="false"/>
          <w:iCs/>
          <w:color w:val="000000"/>
          <w:sz w:val="20"/>
          <w:szCs w:val="20"/>
          <w:shd w:fill="auto" w:val="clear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shd w:fill="auto" w:val="clear"/>
          <w:lang w:eastAsia="en-US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RESULTADOS PRETENDIDOS COM A CONTRATAÇÃO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13.1 Os resultados</w:t>
      </w:r>
      <w:r>
        <w:rPr>
          <w:rFonts w:cs="Arial" w:ascii="Verdana" w:hAnsi="Verdana"/>
          <w:sz w:val="20"/>
          <w:szCs w:val="20"/>
        </w:rPr>
        <w:t xml:space="preserve"> pretendidos com a contratação tem como pilar o melhor atendimento aos cidadãos e manter a frota de veículos devidamente abastecidos para pronto atendimento aos interesses da comunidade.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PROVIDÊNCIAS A SEREM ADOTADAS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14.1. A Administração Pública contará com a Secretaria Municipal de Administração e Secretarias requisitantes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prestação dos serviços conforme  </w:t>
      </w:r>
      <w:r>
        <w:rPr>
          <w:rFonts w:cs="Arial" w:ascii="Verdana" w:hAnsi="Verdana"/>
          <w:b w:val="false"/>
          <w:bCs w:val="false"/>
          <w:sz w:val="20"/>
          <w:szCs w:val="20"/>
        </w:rPr>
        <w:t>especificações contidas no processo licitatório.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14.2. A Prefeitura Municipal de São Gabriel da Palha poderá exigir em qualquer momento que a CONTRATADA efetue teste do combustível, para verificação da compatibilidade do mesmo com o padrão exigido pela Agência Nacional de Petróleo.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15.1. Não se verifica contratações correlatas ou interdependentes para a viabilidade e contratação dest</w:t>
      </w:r>
      <w:r>
        <w:rPr>
          <w:rFonts w:cs="Arial" w:ascii="Verdana" w:hAnsi="Verdana"/>
          <w:sz w:val="20"/>
          <w:szCs w:val="20"/>
        </w:rPr>
        <w:t>a demanda.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16.1.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Os produtos devem atender as normas e padrões relacionados, principalmente as normas da ANP- Agência Nacional de Petróleo vigentes.</w:t>
      </w:r>
    </w:p>
    <w:p>
      <w:pPr>
        <w:pStyle w:val="Normal"/>
        <w:widowControl/>
        <w:suppressAutoHyphens w:val="true"/>
        <w:bidi w:val="0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DECLARAÇÃO E JUSTIFICATIVA DA VIABILIDADE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17.1.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17.2. Considerando a necessidade de aquisição de combustíveis, visando prestar um melhor atendimento aos cidadãos, decidiu-se pela aquisição do serviço.</w:t>
      </w:r>
    </w:p>
    <w:p>
      <w:pPr>
        <w:pStyle w:val="Normal"/>
        <w:spacing w:lineRule="auto" w:line="276" w:before="85" w:after="85"/>
        <w:ind w:hanging="0" w:left="0" w:right="0"/>
        <w:jc w:val="right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18. ADEQUAÇÃO ORÇAMENTÁRIA </w:t>
      </w:r>
    </w:p>
    <w:p>
      <w:pPr>
        <w:pStyle w:val="ListParagraph"/>
        <w:numPr>
          <w:ilvl w:val="0"/>
          <w:numId w:val="0"/>
        </w:numPr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18.1. As </w:t>
      </w:r>
      <w:r>
        <w:rPr>
          <w:rFonts w:ascii="Verdana" w:hAnsi="Verdana"/>
          <w:sz w:val="20"/>
          <w:szCs w:val="20"/>
        </w:rPr>
        <w:t xml:space="preserve">despesas decorrentes da presente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aquisição</w:t>
      </w:r>
      <w:r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aquisição</w:t>
      </w:r>
      <w:r>
        <w:rPr>
          <w:rFonts w:ascii="Verdana" w:hAnsi="Verdana"/>
          <w:sz w:val="20"/>
          <w:szCs w:val="20"/>
        </w:rPr>
        <w:t xml:space="preserve"> atendida pelas seguintes dotações: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Saúde:</w:t>
      </w:r>
      <w:r>
        <w:rPr>
          <w:rFonts w:ascii="Verdana" w:hAnsi="Verdana"/>
          <w:sz w:val="20"/>
          <w:szCs w:val="20"/>
        </w:rPr>
        <w:t xml:space="preserve"> </w:t>
      </w:r>
      <w:bookmarkStart w:id="8" w:name="_GoBack111"/>
      <w:bookmarkEnd w:id="8"/>
      <w:r>
        <w:rPr>
          <w:rFonts w:cs="Arial" w:ascii="Verdana" w:hAnsi="Verdana"/>
          <w:sz w:val="20"/>
          <w:szCs w:val="20"/>
        </w:rPr>
        <w:t>FICHA – FONTE: 00505-15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0000150000 o valor de R$ 2.235.700,00 (dois milhões duzentos e trinta e cinco mil e setecentos reais);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Governo E Comunicação:</w:t>
      </w:r>
      <w:r>
        <w:rPr>
          <w:rFonts w:ascii="Verdana" w:hAnsi="Verdana"/>
          <w:sz w:val="20"/>
          <w:szCs w:val="20"/>
        </w:rPr>
        <w:t xml:space="preserve"> </w:t>
      </w:r>
      <w:bookmarkStart w:id="9" w:name="_GoBack111_Copia_1"/>
      <w:bookmarkEnd w:id="9"/>
      <w:r>
        <w:rPr>
          <w:rFonts w:cs="Arial" w:ascii="Verdana" w:hAnsi="Verdana"/>
          <w:sz w:val="20"/>
          <w:szCs w:val="20"/>
        </w:rPr>
        <w:t>FICHA – FONTE: 00054-15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R$ 2.236,50 (dois mil duzentos e trinta e seis reais e cinquenta centavos);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</w:t>
      </w:r>
      <w:r>
        <w:rPr>
          <w:rFonts w:ascii="Verdana" w:hAnsi="Verdana"/>
          <w:b/>
          <w:bCs/>
          <w:sz w:val="20"/>
          <w:szCs w:val="20"/>
        </w:rPr>
        <w:t>a</w:t>
      </w:r>
      <w:r>
        <w:rPr>
          <w:rFonts w:ascii="Verdana" w:hAnsi="Verdana"/>
          <w:b/>
          <w:bCs/>
          <w:sz w:val="20"/>
          <w:szCs w:val="20"/>
        </w:rPr>
        <w:t>binete Do Prefeito:</w:t>
      </w:r>
      <w:r>
        <w:rPr>
          <w:rFonts w:ascii="Verdana" w:hAnsi="Verdana"/>
          <w:sz w:val="20"/>
          <w:szCs w:val="20"/>
        </w:rPr>
        <w:t xml:space="preserve"> </w:t>
      </w:r>
      <w:bookmarkStart w:id="10" w:name="_GoBack111_Copia_2"/>
      <w:bookmarkEnd w:id="10"/>
      <w:r>
        <w:rPr>
          <w:rFonts w:cs="Arial" w:ascii="Verdana" w:hAnsi="Verdana"/>
          <w:sz w:val="20"/>
          <w:szCs w:val="20"/>
        </w:rPr>
        <w:t>FICHA – FONTE: 00043-15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R$ 28.734,00 (vinte e oito mil setecentos e trinta e quatro reais);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Agricultura:</w:t>
      </w:r>
      <w:r>
        <w:rPr>
          <w:rFonts w:ascii="Verdana" w:hAnsi="Verdana"/>
          <w:sz w:val="20"/>
          <w:szCs w:val="20"/>
        </w:rPr>
        <w:t xml:space="preserve"> </w:t>
      </w:r>
      <w:bookmarkStart w:id="11" w:name="_GoBack111_Copia_3"/>
      <w:bookmarkEnd w:id="11"/>
      <w:r>
        <w:rPr>
          <w:rFonts w:cs="Arial" w:ascii="Verdana" w:hAnsi="Verdana"/>
          <w:sz w:val="20"/>
          <w:szCs w:val="20"/>
        </w:rPr>
        <w:t>FICHA – FONTE: 00264-15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0000000000998.550,00 o valor de R$ 998.550,00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Educação:</w:t>
      </w:r>
      <w:r>
        <w:rPr>
          <w:rFonts w:ascii="Verdana" w:hAnsi="Verdana"/>
          <w:sz w:val="20"/>
          <w:szCs w:val="20"/>
        </w:rPr>
        <w:t xml:space="preserve"> </w:t>
      </w:r>
      <w:bookmarkStart w:id="12" w:name="_GoBack111_Copia_4"/>
      <w:bookmarkEnd w:id="12"/>
      <w:r>
        <w:rPr>
          <w:rFonts w:cs="Arial" w:ascii="Verdana" w:hAnsi="Verdana"/>
          <w:sz w:val="20"/>
          <w:szCs w:val="20"/>
        </w:rPr>
        <w:t>FICHA – FONTE: 00591-15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0000250000 o valor de R$ 629.980,00 (seiscentos e vinte e nove mil novecentos e oitenta reais);</w:t>
      </w:r>
    </w:p>
    <w:p>
      <w:pPr>
        <w:pStyle w:val="ListParagraph"/>
        <w:widowControl/>
        <w:numPr>
          <w:ilvl w:val="0"/>
          <w:numId w:val="5"/>
        </w:numPr>
        <w:tabs>
          <w:tab w:val="clear" w:pos="708"/>
          <w:tab w:val="left" w:pos="510" w:leader="none"/>
        </w:tabs>
        <w:suppressAutoHyphens w:val="true"/>
        <w:overflowPunct w:val="false"/>
        <w:bidi w:val="0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Finanças:</w:t>
      </w:r>
      <w:r>
        <w:rPr>
          <w:rFonts w:ascii="Verdana" w:hAnsi="Verdana"/>
          <w:sz w:val="20"/>
          <w:szCs w:val="20"/>
        </w:rPr>
        <w:t xml:space="preserve"> </w:t>
      </w:r>
      <w:bookmarkStart w:id="13" w:name="_GoBack111_Copia_5"/>
      <w:bookmarkEnd w:id="13"/>
      <w:r>
        <w:rPr>
          <w:rFonts w:cs="Arial" w:ascii="Verdana" w:hAnsi="Verdana"/>
          <w:sz w:val="20"/>
          <w:szCs w:val="20"/>
        </w:rPr>
        <w:t>FICHA – FONTE: 00122-15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R$ 9.585,00 (nove mil quinhentos e oitenta e cinco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Serviços Urbanos E Transportes:</w:t>
      </w:r>
      <w:r>
        <w:rPr>
          <w:rFonts w:ascii="Verdana" w:hAnsi="Verdana"/>
          <w:sz w:val="20"/>
          <w:szCs w:val="20"/>
        </w:rPr>
        <w:t xml:space="preserve"> </w:t>
      </w:r>
      <w:bookmarkStart w:id="14" w:name="_GoBack111_Copia_6"/>
      <w:bookmarkEnd w:id="14"/>
      <w:r>
        <w:rPr>
          <w:rFonts w:cs="Arial" w:ascii="Verdana" w:hAnsi="Verdana"/>
          <w:sz w:val="20"/>
          <w:szCs w:val="20"/>
        </w:rPr>
        <w:t>FICHA – FONTE: 00233-15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R$ 428.220,00 (quatrocentos e vinte e oito mil duzentos e vinte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Cultura E Arte:</w:t>
      </w:r>
      <w:r>
        <w:rPr>
          <w:rFonts w:ascii="Verdana" w:hAnsi="Verdana"/>
          <w:sz w:val="20"/>
          <w:szCs w:val="20"/>
        </w:rPr>
        <w:t xml:space="preserve"> </w:t>
      </w:r>
      <w:bookmarkStart w:id="15" w:name="_GoBack111_Copia_7"/>
      <w:bookmarkEnd w:id="15"/>
      <w:r>
        <w:rPr>
          <w:rFonts w:cs="Arial" w:ascii="Verdana" w:hAnsi="Verdana"/>
          <w:sz w:val="20"/>
          <w:szCs w:val="20"/>
        </w:rPr>
        <w:t>FICHA – FONTE: 00296-15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R$ 6.390,00 (seis mil trezentos e noventa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Obras E Desenvolvimento Urbano:</w:t>
      </w:r>
      <w:r>
        <w:rPr>
          <w:rFonts w:ascii="Verdana" w:hAnsi="Verdana"/>
          <w:sz w:val="20"/>
          <w:szCs w:val="20"/>
        </w:rPr>
        <w:t xml:space="preserve"> </w:t>
      </w:r>
      <w:bookmarkStart w:id="16" w:name="_GoBack111_Copia_8"/>
      <w:bookmarkEnd w:id="16"/>
      <w:r>
        <w:rPr>
          <w:rFonts w:cs="Arial" w:ascii="Verdana" w:hAnsi="Verdana"/>
          <w:sz w:val="20"/>
          <w:szCs w:val="20"/>
        </w:rPr>
        <w:t>FICHA – FONTE: 00178-15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R$ 197.520,00 (cento e noventa e sete mil quinhentos e vinte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Esporte E Lazer:</w:t>
      </w:r>
      <w:r>
        <w:rPr>
          <w:rFonts w:ascii="Verdana" w:hAnsi="Verdana"/>
          <w:sz w:val="20"/>
          <w:szCs w:val="20"/>
        </w:rPr>
        <w:t xml:space="preserve"> </w:t>
      </w:r>
      <w:bookmarkStart w:id="17" w:name="_GoBack111_Copia_9"/>
      <w:bookmarkEnd w:id="17"/>
      <w:r>
        <w:rPr>
          <w:rFonts w:cs="Arial" w:ascii="Verdana" w:hAnsi="Verdana"/>
          <w:sz w:val="20"/>
          <w:szCs w:val="20"/>
        </w:rPr>
        <w:t>FICHA – FONTE: 00322-15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R$ 59.898,00 (cinquenta e nove mil oitocentos e noventa e oito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De Meio Ambiente:</w:t>
      </w:r>
      <w:r>
        <w:rPr>
          <w:rFonts w:ascii="Verdana" w:hAnsi="Verdana"/>
          <w:sz w:val="20"/>
          <w:szCs w:val="20"/>
        </w:rPr>
        <w:t xml:space="preserve"> </w:t>
      </w:r>
      <w:bookmarkStart w:id="18" w:name="_GoBack111_Copia_10"/>
      <w:bookmarkEnd w:id="18"/>
      <w:r>
        <w:rPr>
          <w:rFonts w:cs="Arial" w:ascii="Verdana" w:hAnsi="Verdana"/>
          <w:sz w:val="20"/>
          <w:szCs w:val="20"/>
        </w:rPr>
        <w:t>FICHA – FONTE: 00279-15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R$ 6.390,00 (seis mil trezentos e noventa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Secretaria Municipal Do Trabalho, Assistência, Desenvolvimento Social (Cadastro Único):</w:t>
      </w:r>
      <w:r>
        <w:rPr>
          <w:rFonts w:ascii="Verdana" w:hAnsi="Verdana"/>
          <w:sz w:val="20"/>
          <w:szCs w:val="20"/>
        </w:rPr>
        <w:t xml:space="preserve"> </w:t>
      </w:r>
      <w:bookmarkStart w:id="19" w:name="_GoBack111_Copia_11"/>
      <w:bookmarkEnd w:id="19"/>
      <w:r>
        <w:rPr>
          <w:rFonts w:cs="Arial" w:ascii="Verdana" w:hAnsi="Verdana"/>
          <w:sz w:val="20"/>
          <w:szCs w:val="20"/>
        </w:rPr>
        <w:t>FICHA – FONTE: 00439-15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0000000000 o valor de R$ 12.141,00 (doze mil cento e quarenta e um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pt-BR" w:bidi="ar-SA"/>
        </w:rPr>
        <w:t>Secretaria Municipal Do Trabalho, Assistência, Desenvolvimento Social  (Conselho Tutelar):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bookmarkStart w:id="20" w:name="_GoBack111_Copia_11_Copia_1"/>
      <w:bookmarkEnd w:id="20"/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FICHA – FONTE: 00394-150000000000 o valor de R$ 12.141,00 (doze mil cento e quarenta e um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S</w:t>
      </w: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pt-BR" w:bidi="ar-SA"/>
        </w:rPr>
        <w:t>ecretaria Municipal Do Trabalho, Assistência, Desenvolvimento Social  (Sede):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bookmarkStart w:id="21" w:name="_GoBack111_Copia_11_Copia_2"/>
      <w:bookmarkEnd w:id="21"/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FICHA – FONTE: 00403-150000000000 o valor de R$ 31.950,00 (trinta e um mil novecentos e cinquenta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pt-BR" w:bidi="ar-SA"/>
        </w:rPr>
        <w:t>Secretaria Municipal Do Trabalho, Assistência, Desenvolvimento Social (Creas):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bookmarkStart w:id="22" w:name="_GoBack111_Copia_11_Copia_3"/>
      <w:bookmarkEnd w:id="22"/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FICHA – FONTE: 00430-150000000000 o valor de R$ 14.058,00 (quatorze mil e cinquenta e oito reais);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10" w:leader="none"/>
        </w:tabs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pt-BR" w:bidi="ar-SA"/>
        </w:rPr>
        <w:t>Secretaria Municipal Do Trabalho, Assistência, Desenvolvimento Social  (Cras):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FICHA – FONTE: 00419-150000000000 o valor de R$ 92.600,00 (noventa e dois mil e seiscentos reais).</w:t>
      </w:r>
    </w:p>
    <w:p>
      <w:pPr>
        <w:pStyle w:val="ListParagraph"/>
        <w:spacing w:lineRule="auto" w:line="276" w:before="85" w:after="85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lang w:val="pt-BR" w:eastAsia="pt-BR" w:bidi="ar-SA"/>
        </w:rPr>
        <w:t>19. DOS RESPONS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ÁVEIS PELA ELABORAÇÃO DO TERMO DE REFERÊNCIA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São Gabriel da Palha, 02 de dezembro de 2024 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sectPr>
          <w:headerReference w:type="even" r:id="rId8"/>
          <w:headerReference w:type="default" r:id="rId9"/>
          <w:headerReference w:type="first" r:id="rId10"/>
          <w:footerReference w:type="even" r:id="rId11"/>
          <w:footerReference w:type="default" r:id="rId12"/>
          <w:footerReference w:type="first" r:id="rId13"/>
          <w:type w:val="nextPage"/>
          <w:pgSz w:w="11906" w:h="16838"/>
          <w:pgMar w:left="1517" w:right="905" w:gutter="0" w:header="227" w:top="851" w:footer="308" w:bottom="758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RODOLFO ANTÔNIO DA SILVA NETO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Auxiliar Administrativo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Mat. nº 000406</w:t>
      </w:r>
    </w:p>
    <w:p>
      <w:pPr>
        <w:pStyle w:val="Normal"/>
        <w:spacing w:lineRule="auto" w:line="276" w:before="85" w:after="85"/>
        <w:ind w:hanging="0" w:left="0" w:right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RUTH BARBARA DA SILWA NASCIMENTO</w:t>
      </w:r>
    </w:p>
    <w:p>
      <w:pPr>
        <w:pStyle w:val="Normal"/>
        <w:spacing w:lineRule="auto" w:line="276" w:before="85" w:after="85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spacing w:lineRule="auto" w:line="276" w:before="85" w:after="85"/>
        <w:ind w:hanging="0" w:left="0" w:right="0"/>
        <w:rPr/>
      </w:pPr>
      <w:bookmarkStart w:id="23" w:name="art122%252525252525252525252525252525252"/>
      <w:bookmarkEnd w:id="23"/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>Mat. nº 002983</w:t>
      </w:r>
    </w:p>
    <w:p>
      <w:pPr>
        <w:sectPr>
          <w:type w:val="continuous"/>
          <w:pgSz w:w="11906" w:h="16838"/>
          <w:pgMar w:left="1517" w:right="905" w:gutter="0" w:header="227" w:top="851" w:footer="308" w:bottom="758"/>
          <w:cols w:num="2" w:space="282" w:equalWidth="true" w:sep="false"/>
          <w:formProt w:val="false"/>
          <w:textDirection w:val="lrTb"/>
          <w:docGrid w:type="default" w:linePitch="326" w:charSpace="0"/>
        </w:sectPr>
      </w:pPr>
    </w:p>
    <w:sectPr>
      <w:type w:val="continuous"/>
      <w:pgSz w:w="11906" w:h="16838"/>
      <w:pgMar w:left="1517" w:right="905" w:gutter="0" w:header="227" w:top="851" w:footer="308" w:bottom="758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sz w:val="20"/>
        <w:szCs w:val="20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fontstyle21">
    <w:name w:val="fontstyle21"/>
    <w:qFormat/>
    <w:rPr>
      <w:rFonts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01">
    <w:name w:val="fontstyle01"/>
    <w:qFormat/>
    <w:rPr>
      <w:rFonts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Semlista">
    <w:name w:val="Sem lista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Application>LibreOffice/24.2.6.2$Windows_X86_64 LibreOffice_project/ef66aa7e36a1bb8e65bfbc63aba53045a14d0871</Application>
  <AppVersion>15.0000</AppVersion>
  <Pages>13</Pages>
  <Words>5141</Words>
  <Characters>29844</Characters>
  <CharactersWithSpaces>34720</CharactersWithSpaces>
  <Paragraphs>321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2024-11-19T14:31:54Z</cp:lastPrinted>
  <dcterms:modified xsi:type="dcterms:W3CDTF">2024-12-03T16:19:22Z</dcterms:modified>
  <cp:revision>129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